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</w:pPr>
      <w:r>
        <w:rPr>
          <w:rFonts w:ascii="Cambria" w:cs="Cambria" w:hAnsi="Cambria" w:eastAsia="Cambria"/>
          <w:b w:val="1"/>
          <w:bCs w:val="1"/>
          <w:smallCaps w:val="1"/>
          <w:sz w:val="32"/>
          <w:szCs w:val="32"/>
          <w:rtl w:val="0"/>
          <w:lang w:val="it-IT"/>
        </w:rPr>
        <w:t>Il giovane Ges</w:t>
      </w:r>
      <w:r>
        <w:rPr>
          <w:rFonts w:ascii="Cambria" w:cs="Cambria" w:hAnsi="Cambria" w:eastAsia="Cambria"/>
          <w:b w:val="1"/>
          <w:bCs w:val="1"/>
          <w:smallCaps w:val="1"/>
          <w:sz w:val="32"/>
          <w:szCs w:val="32"/>
          <w:rtl w:val="0"/>
          <w:lang w:val="it-IT"/>
        </w:rPr>
        <w:t xml:space="preserve">ù </w:t>
      </w:r>
      <w:r>
        <w:rPr>
          <w:rFonts w:ascii="Cambria" w:cs="Cambria" w:hAnsi="Cambria" w:eastAsia="Cambria"/>
          <w:b w:val="1"/>
          <w:bCs w:val="1"/>
          <w:smallCaps w:val="1"/>
          <w:sz w:val="32"/>
          <w:szCs w:val="32"/>
          <w:rtl w:val="0"/>
          <w:lang w:val="it-IT"/>
        </w:rPr>
        <w:t>li interrogava (Lc 2,41-52)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Quando tuo figlio ti domander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Nel primo dei nostri incontri ci siamo messi di fronte alla domanda del figlio, testimoniata da tanti passi della Scrittura: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Quando in avvenire tuo figlio ti domander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‘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Che cosa significa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?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’”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(Dt 6,20; cf. Es 12,26-27; 13,14-15). Che i figli interroghino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prima di tutto una realt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della vita di tutti i giorni: i pi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giovani crescono grazie anche al gioco delle domande e delle risposte. Non mancheranno di chiedere ai genitori: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Raccontateci il vostro primo incontro!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 Oppure, diranno alla mamma: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 la mia nascita, come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accaduta?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 Come i fratelli nel film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The Tree of Life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chiederanno, in una maniera o nell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altra: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Tell us stories from before we can remember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– 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Raccontaci storie di prima dei nostri ricordi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 Nessuna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 app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nessun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social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si sostituir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questo dialogo vitale fatto di domande e risposte. Su questo scambio essenziale da una generazione all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altra si innesta, nella Bibbia, la trasmissione della fede, il cui nucleo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sempre narrativo.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Gli dirai: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‘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Eravamo schiavi del faraone in Egitto e il Signore ci fece uscire dall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Egitto con mano potente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’”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(Dt 6,21). Quando sono i genitori a narrare la storia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amore di Dio per gli uomini, la parola sulle loro labbra ha una forza senza uguali per il figlio che cresce, una forza che gli stessi genitori sono lungi dall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immaginare, e questo semplicemente 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la parola dei genitori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innestata su un dono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il dono di se stessi che fanno al figlio dandogli la vita o adottandolo. </w:t>
      </w:r>
    </w:p>
    <w:p>
      <w:pPr>
        <w:pStyle w:val="Normal.0"/>
        <w:spacing w:after="0" w:line="240" w:lineRule="auto"/>
        <w:ind w:firstLine="708"/>
      </w:pPr>
    </w:p>
    <w:p>
      <w:pPr>
        <w:pStyle w:val="Normal.0"/>
        <w:spacing w:after="0" w:line="240" w:lineRule="auto"/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Le prime parole di Ges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ù</w:t>
      </w:r>
    </w:p>
    <w:p>
      <w:pPr>
        <w:pStyle w:val="Normal.0"/>
        <w:spacing w:after="0" w:line="240" w:lineRule="auto"/>
        <w:ind w:firstLine="708"/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Il tempo liturgico presente ci rende attenti agli esordi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ù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 Come non centrarsi sulla storia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ritrovato al Tempio in Lc 2,41-52,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unico episodio della giovinezza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che ci sia raccontato nel Vangelo, al di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dei rituali della prima infanzia? In questo episodio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si iscrive nella tradizione biblica del figlio che interroga. Ma la storia rappresenta pure una svolta in questa tradizione, un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di pi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 cui ci viene rivelato il mistero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ù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come pure il mistero di ogni figlio e figlia.</w:t>
      </w:r>
    </w:p>
    <w:p>
      <w:pPr>
        <w:pStyle w:val="Normal.0"/>
        <w:spacing w:after="0" w:line="240" w:lineRule="auto"/>
        <w:ind w:firstLine="708"/>
      </w:pP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it-IT"/>
        </w:rPr>
        <w:t>Luca 2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mallCaps w:val="1"/>
          <w:sz w:val="24"/>
          <w:szCs w:val="24"/>
          <w:vertAlign w:val="superscript"/>
          <w:rtl w:val="0"/>
          <w:lang w:val="it-IT"/>
        </w:rPr>
        <w:t>41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 suoi genitori si recavano tutti gli anni a Gerusalemme per la festa di Pasqua.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42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Quando egli ebbe dodici anni, vi salirono di nuovo secondo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usanza;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43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 trascorsi i giorni della festa, mentre riprendevano la via del ritorno, il fanciullo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rimase a Gerusalemme, senza che i genitori se ne accorgessero.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44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Credendolo nella carovana, fecero una giornata di viaggio, e poi si misero a cercarlo tra i parenti e i conoscenti;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45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non avendolo trovato, tornarono in cerca di lui a Gerusalemme.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46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Dopo tre giorni lo trovarono nel tempio, seduto in mezzo ai dottori, mentre li ascoltava e li interrogava.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47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 tutti quelli che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udivano erano pieni di stupore per la sua intelligenza e le sue risposte.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48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 vederlo restarono stupiti e sua madre gli disse: "Figlio, 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ci hai fatto cos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ì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? Ecco, tuo padre e io, angosciati, ti cercavamo".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49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Ed egli rispose: "Perch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mi cercavate? Non sapevate che io devo occuparmi delle cose del Padre mio?".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50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Ma essi non compresero le sue parole.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it-IT"/>
        </w:rPr>
        <w:t>51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Part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dunque con loro e torn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 Nazaret e stava loro sottomesso. Sua madre serbava tutte queste cose nel suo cuore. </w:t>
      </w:r>
    </w:p>
    <w:p>
      <w:pPr>
        <w:pStyle w:val="Normal.0"/>
        <w:spacing w:after="0" w:line="240" w:lineRule="auto"/>
        <w:ind w:left="567" w:firstLine="0"/>
      </w:pPr>
      <w:r>
        <w:rPr>
          <w:rFonts w:ascii="Cambria" w:cs="Cambria" w:hAnsi="Cambria" w:eastAsia="Cambria"/>
          <w:smallCaps w:val="1"/>
          <w:sz w:val="24"/>
          <w:szCs w:val="24"/>
          <w:vertAlign w:val="superscript"/>
          <w:rtl w:val="0"/>
          <w:lang w:val="it-IT"/>
        </w:rPr>
        <w:t>52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cresceva in sapienza, et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 grazia davanti a Dio e agli uomini.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La storia ha come contesto la Pasqua, vissuta come pellegrinaggio verso Gerusalemme, uno dei tre a cui gli Israeliti erano tenuti ogni anno: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Tre volte all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anno ogni tuo maschio compaia alla presenza del Signore Dio, Dio d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Israele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(Es 34,23). Nel camminare di tutti verso Gerusalemme si prolunga la marcia fondatrice del popolo, quella dalla schiavit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Egitto alla libert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 In questo suo primo pellegrinaggio il giovane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rivela gi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da subito come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uomo che cammina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(come recita il titolo del bel libro di Christian Bobin), colui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sempre in movimento verso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Altro e verso gli altri, e in particolare, colui che sale verso Gerusalemme (cf. Lc 9,51). Possiamo anche immaginare, con buon fondamento, che lungo il cammino verso la citt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santa tra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 i suoi genitori si sia prolungato lo scambio di domande-risposte iniziato a casa attorno al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della festa e delle sue pratiche. </w:t>
      </w:r>
    </w:p>
    <w:p>
      <w:pPr>
        <w:pStyle w:val="Normal.0"/>
        <w:spacing w:after="0" w:line="240" w:lineRule="auto"/>
        <w:ind w:firstLine="708"/>
      </w:pPr>
    </w:p>
    <w:p>
      <w:pPr>
        <w:pStyle w:val="Normal.0"/>
        <w:spacing w:after="0" w:line="240" w:lineRule="auto"/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Tempi supplementari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Il pellegrinaggio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una salita verso il monte Sion. In questo riproduce la marcia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esodo, durante il quale il popolo si avvicina al Sinai, la montagna di Dio.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esperienza del Sinai fu per Isralele un evento di rivelazione e di intimit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con Dio senza precedenti: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ho fatti venire fino a me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gli annuncia Dio (Es 19,4). Nel suo primo pellegrinaggio, il ragazzo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vive anch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egli un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intimit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senza precedenti con Dio nell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ambito del Tempio, sulla montagna di Sion. Non sappiamo i dettagli di quest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esperienza, scopriamo solo che per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stata troppo breve, poich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si sente spinto ai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tempi supplementari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 Un legame essenziale con il Padre, pi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intimo ancora del legame che lo unisce ai genitori, si esprime forse per la prima volta nel cuore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ù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 Ai genitori non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risparmiato niente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ansia che vivono tanti genitori di fronte ai figli che, adolescenti, si distaccano da loro, in un modo o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altro. Negli anni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adolescenza ogni figlio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portato ad esplorare dei sentieri non battuti da altri, a ricercare una certa autonomia dai propri genitori. E proprio in questi anni un giovane rivela una sorta di predisposizione a riconoscere la voce di Dio ed entrare in una relazione personale con Lui. La vita dei genitori e la trasmissione di fede realizzata nella famiglia (Giuseppe e Maria uniscono il figlio al proprio itinerario di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«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salita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»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Gerusalemme) offrono una cornice importante 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sia favorito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incontro personale con il Signore.</w:t>
      </w: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Giuseppe e Maria ritrovano il figlio nel Tempio dopo tre giorni,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seduto in mezzo ai dottori, mentre li ascoltava e li interrogava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(v. 46).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non solo ascolta i saggi, li interroga pure, prolungando in questa maniera il gioco delle domande vissuto in famiglia. E se fa le domande, d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anche le risposte: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 tutti quelli che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udivano erano pieni di stupore per la sua intelligenza e le sue risposte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(v. 47). Attraverso le sue risposte, il giovane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si rivela capace di appropriarsi in modo personale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 quanto personale!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della tradizione ricevuta. Rivela in questo il suo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intimo, irriducibile a quello di tutti coloro che lo hanno generato alla vita o alla fede. E lo fa pure di fronte a delle figure diverse da quelle dei genitori, i dottori della legge. In maniera analoga, ogni giovane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accompagnato da educatori nella fede (catechisti, padrini, pastori) che hanno il compito di parlare (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«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li ascoltava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»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) e di rispondere (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«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li interrogava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»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), ma affinch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faccia un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personale incontro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con il Signore e possa cos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elaborare, in mezzo alla comunit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, con saggezza le proprie risposte. Quante volte delle intuizioni di fede dei nostri giovani ci hanno stupito e abbiamo riconosciuto in esse una sapienza che viene dal Signore! </w:t>
      </w:r>
    </w:p>
    <w:p>
      <w:pPr>
        <w:pStyle w:val="Normal.0"/>
        <w:spacing w:after="0" w:line="240" w:lineRule="auto"/>
        <w:ind w:firstLine="708"/>
      </w:pPr>
    </w:p>
    <w:p>
      <w:pPr>
        <w:pStyle w:val="Normal.0"/>
        <w:spacing w:after="0" w:line="240" w:lineRule="auto"/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immediatezza di Dio</w:t>
      </w:r>
    </w:p>
    <w:p>
      <w:pPr>
        <w:pStyle w:val="Normal.0"/>
        <w:spacing w:after="0" w:line="240" w:lineRule="auto"/>
        <w:ind w:firstLine="708"/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Dopo aver interrogato i dottori,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interroga i genitori: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mi cercavate? Non sapevate che io devo essere presso le cose del Padre mio?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(v. 49). Sono queste le prime parole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riportate nel vangelo di Luca; come in ogni racconto, le prime parole del protagonista sono delle parole che contano. Ai genitori che lo ritrovano nel Tempio,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fa capire che il suo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possiede un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orientamento assoluto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: si trova a casa sua nella casa di Dio, suo Padre. Se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bambino ha scoperto Dio come il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Dio dei padri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pu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dire ora che il Dio dei padri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è 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Dio, suo Padre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 In questa affermazione iniziale,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mette in prospettiva ci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che sar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la traiettoria di tutta la sua esistenza.</w:t>
      </w: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Non manca una certa veemenza nella risposta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ai genitori, quando li mette davanti alla missione assoluta che caratterizzer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la sua vita. I figli e le figlie che lasciano interdetti i genitori o gli adulti non mancano nella Bibbia. Ricordiamoci della figlia di Jefte che prende di sorpresa il padre che aveva formulato il suo voto insensato (Gdc 11,29-40) o del giovane Samuele che interpella per tre volte il sacerdote Eli (1Sam 3). Nell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esistenza di ogni giovane viene prima o poi il momento di far capire a tutti che egli ha una identit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singolare, che trascende i legami familiari e che emerge quando lui si mette di fronte a Dio. Questo ultimo elemento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il fatto che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affermazione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del proprio io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scaturisca in realt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da un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esperienza pi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personale di Dio, sia un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identit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donata da Lui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un elemento tanto fondamentale quanto dimenticato dalla nostra cultura. Chi ha visto dei giovani in un momento intenso di preghiera (ad esempio a Taiz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quando si cantano in modo ripetuto dei versetti biblici), non pu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dubitarne: nel cuore del giovane pu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accendersi un fuoco  che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non si spegne mai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esperienza viva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assoluto di Dio e del suo Cristo.</w:t>
      </w: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Se ci facciamo mediatori della fede per i nostri figli, rispondendo alle loro domande e raccontando loro i racconti fondatori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come quello della salita di Ges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al Tempio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– 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affinch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facciano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esperienza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immediatezza di Dio, del Dio che li visita e suscita in loro un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libero. Una cosa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certa: rispetto alle nostre risposte, le loro saranno risposte inedite e originali, per noi diverse e sorprendenti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– 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 vostri figli e le vostre figlie profeteranno, i vostri giovani avranno visioni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(Gl 3,1; cf. At 2,17).</w:t>
      </w:r>
    </w:p>
    <w:p>
      <w:pPr>
        <w:pStyle w:val="Normal.0"/>
        <w:spacing w:after="0" w:line="240" w:lineRule="auto"/>
        <w:ind w:firstLine="708"/>
        <w:jc w:val="both"/>
      </w:pPr>
    </w:p>
    <w:p>
      <w:pPr>
        <w:pStyle w:val="Normal.0"/>
        <w:spacing w:after="0" w:line="240" w:lineRule="auto"/>
        <w:ind w:firstLine="708"/>
        <w:jc w:val="both"/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Domande per il dibattito:</w:t>
      </w:r>
    </w:p>
    <w:p>
      <w:pPr>
        <w:pStyle w:val="Normal.0"/>
        <w:spacing w:after="0" w:line="240" w:lineRule="auto"/>
        <w:jc w:val="both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Ricordiamoci delle domande che ci hanno fatto i nostri figli (o i giovani della nostra comunit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), le domande pi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profonde sul senso delle cose, sul 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delle scelte decisive della vita (ad esempio: 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 siete sposati? Perch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mi hai messo al mondo?) e del come abbiamo risposto. 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’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stata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occasione per parlare del Signore, della Sua storia d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amore con noi, del Suo progetto di vita e di felicit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 ogni uomo?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sembrato di cogliere anche nei nostri figli, nei giovani della nostra comunit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un desiderio di affermazione di 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di identit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nuova? Siamo stati al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loro gioco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 ci siamo indispettiti per il fatto che esprimevano forse una presa di distanza dalle nostre posizioni? Li abbiamo aiutati a mettersi davanti al Signore, consapevoli che solo da 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potr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emergere il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nuovo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 cui sono chiamati?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mbria" w:cs="Cambria" w:hAnsi="Cambria" w:eastAsia="Cambria"/>
          <w:sz w:val="24"/>
          <w:szCs w:val="24"/>
          <w:rtl w:val="0"/>
          <w:lang w:val="it-IT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Nella nostra parrocchia c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’è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spazio di parola per i giovani e per il loro modo di vedere le cose? Garantiamo loro la possibilit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di esprimersi secondo lo stile, la creativit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le modalit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che sono loro pi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congeniali?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